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61</w:t>
      </w:r>
    </w:p>
    <w:p>
      <w:r>
        <w:t>Bundesgericht (BGE), 1986-03-27, DE</w:t>
      </w:r>
    </w:p>
    <w:p>
      <w:r>
        <w:rPr>
          <w:b/>
        </w:rPr>
        <w:t xml:space="preserve">Quelle: </w:t>
      </w:r>
      <w:r>
        <w:t>https://mcp.opencaselaw.ch/entscheid/bge_112 IV 61</w:t>
      </w:r>
    </w:p>
    <w:p>
      <w:r>
        <w:t>FR: ATF 112 IV 61</w:t>
      </w:r>
    </w:p>
    <w:p>
      <w:r>
        <w:t>IT: DTF 112 IV 61</w:t>
      </w:r>
    </w:p>
    <w:p>
      <w:pPr>
        <w:pStyle w:val="Heading2"/>
      </w:pPr>
      <w:r>
        <w:t>Regeste</w:t>
      </w:r>
    </w:p>
    <w:p>
      <w:r>
        <w:t>Regeste Art. 350 Ziff. 1 StGB, Bestimmung des Gerichtsstandes. Hat die Anklagekammer des Bundesgerichts den Gerichtsstand zu bestimmen, beurteilt sie die dem Beschuldigten vorgeworfenen Handlungen frei, unbekümmert um deren rechtliche Würdigung durch die kantonalen Untersuchungsbehörden. Dabei geht das Bundesgericht notwendig von den Vorwürfen aus, die dem Täter im Zeitpunkt des Verfahrens vor der Anklagekammer gemacht werden können (E. 2).</w:t>
      </w:r>
    </w:p>
    <w:p>
      <w:pPr>
        <w:pStyle w:val="Heading2"/>
      </w:pPr>
      <w:r>
        <w:t>Erwägungen</w:t>
      </w:r>
    </w:p>
    <w:p>
      <w:r>
        <w:rPr>
          <w:b/>
        </w:rPr>
        <w:t>E. 1</w:t>
      </w:r>
    </w:p>
    <w:p>
      <w:r>
        <w:t>Unbestritten ist, dass dem Beschuldigten zahlreiche strafbare Handlungen zur Last gelegt werden, die in verschiedenen Kantonen begangen wurden. Damit stellt sich als erstes die Frage nach dem mit der schwersten Strafe bedrohten Delikt ( Art. 350 Ziff. 1 Abs. 1 StGB ). Nach der gegenwärtigen Aktenlage handelt es sich bei den X. vorgeworfenen Straftaten um Diebstähle, die alle mit gleicher Strafe bedroht sind. Jedenfalls wird von den beteiligten Kantonen nichts angeführt, was zu einem anderen Schluss führen würde. Höchstens könnte man sich fragen, ob bei der Vielzahl der Diebstahlshandlungen nicht der Verdacht auf Gewerbsmässigkeit BGE 112 IV 61 S. 63 gegeben sei. Doch braucht dies nicht entschieden zu werden, weil für die Bestimmung des Gerichtsstandes so oder anders das forum praeventionis entscheidend ist, bei wiederholten Diebstählen gemäss Art. 350 Ziff. 1 Abs. 2 StGB und bei gewerbsmässigem Diebstahl nach Art. 346 Abs. 2 StGB ( BGE 108 IV 143 E. 1).</w:t>
      </w:r>
    </w:p>
    <w:p>
      <w:r>
        <w:rPr>
          <w:b/>
        </w:rPr>
        <w:t>E. 2</w:t>
      </w:r>
    </w:p>
    <w:p>
      <w:r>
        <w:t>Die erste wegen Diebstahls ergangene Strafanzeige wurde - was auch von der Staatsanwaltschaft des Kantons Aargau nicht bestritten wird - am 25. Mai 1985 in Rheinfelden erstattet. Damit aber ist die Zuständigkeit dieses Kantons gegeben. Dass die dem Beschuldigten zur Last gelegten Straftaten im Verlaufe der in den Kantonen Aargau und Basel-Stadt geführten Ermittlungen aufgrund des jeweilig ändernden Untersuchungsergebnisses bald als Betrug, bald als Hehlerei angesehen wurden, ist nicht von Belang. Hat die Anklagekammer des Bundesgerichts den Gerichtsstand zu bestimmen, beurteilt sie die dem Beschuldigten vorgeworfenen Handlungen frei, unbekümmert um deren rechtliche Würdigung durch die kantonalen Untersuchungsbehörden ( BGE 92 IV 155 E. 1). Demgegenüber kann nicht auf die Rechtsprechung verwiesen werden, wonach der Gerichtsstand nicht davon abhängt, was dem Beschuldigten schliesslich nachgewiesen werden kann, sondern sich nach den Handlungen richtet, die durch die Strafverfolgung abgeklärt werden sollen, mit anderen Worten, nicht nach dem, was der Täter tatsächlich begangen hat, sondern nach dem, was ihm vorgeworfen wird ( BGE 98 IV 63 , BGE 71 IV 167 ). Mit dieser Praxis wird bloss dem Umstand Rechnung getragen, dass die Anklagekammer in aller Regel zu einem Zeitpunkt über die Zuständigkeit befinden muss, in dem die Untersuchung noch nicht abgeschlossen ist, und infolgedessen spätere Änderungen in tatsächlicher Beziehung wie hinsichtlich der rechtlichen Unterstellung der schliesslich vom Beschuldigten zu verantwortenden Handlungen möglich sind, die erst vom Sachrichter berücksichtigt werden können. Bei der Beurteilung der Gerichtsstandsfrage muss das Bundesgericht somit notwendig von den Vorwürfen ausgehen, die dem Täter im Zeitpunkt des Verfahrens vor der Anklagekammer gemacht werden können. Massgebend ist dabei stets die Verdachtslage, wie sie sich zur Zeit des bundesgerichtlichen Entscheides darstellt. BGE 112 IV 61 S. 64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